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2A387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b/>
          <w:bCs/>
          <w:color w:val="000000"/>
          <w:kern w:val="0"/>
          <w:lang w:eastAsia="sk-SK"/>
          <w14:ligatures w14:val="none"/>
        </w:rPr>
        <w:t>DOLOŽKA ZLUČITEĽNOSTI</w:t>
      </w:r>
    </w:p>
    <w:p w14:paraId="2D4830C2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b/>
          <w:bCs/>
          <w:color w:val="000000"/>
          <w:kern w:val="0"/>
          <w:lang w:eastAsia="sk-SK"/>
          <w14:ligatures w14:val="none"/>
        </w:rPr>
        <w:t>návrhu zákona s právom Európskej únie</w:t>
      </w:r>
    </w:p>
    <w:p w14:paraId="45835D97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5BAA3EE6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1. </w:t>
      </w:r>
      <w:r w:rsidRPr="00083CA3"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  <w:t>Navrhovateľ zákona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: Ministerstvo hospodárstva Slovenskej republiky  </w:t>
      </w:r>
    </w:p>
    <w:p w14:paraId="2D3BDD9D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6CB1A4A0" w14:textId="67218223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2. </w:t>
      </w:r>
      <w:r w:rsidRPr="00083CA3">
        <w:rPr>
          <w:rFonts w:ascii="Times New Roman" w:eastAsia="Times New Roman" w:hAnsi="Times New Roman" w:cs="Times New Roman"/>
          <w:b/>
          <w:color w:val="000000"/>
          <w:kern w:val="0"/>
          <w:lang w:eastAsia="sk-SK"/>
          <w14:ligatures w14:val="none"/>
        </w:rPr>
        <w:t>Názov návrhu zákona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: Návrh zákona, ktorým sa mení a dopĺňa zákon </w:t>
      </w:r>
      <w:r w:rsidR="003C392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br/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č. 251/2012 Z. z. o energetike a o zmene a doplnení niektorých zákonov v znení neskorších predpisov a ktorým sa menia a dopĺňajú niektoré zákony</w:t>
      </w:r>
    </w:p>
    <w:p w14:paraId="76059119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4E9C5967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3. </w:t>
      </w:r>
      <w:r w:rsidRPr="00083CA3">
        <w:rPr>
          <w:rFonts w:ascii="Times New Roman" w:eastAsia="Times New Roman" w:hAnsi="Times New Roman" w:cs="Times New Roman"/>
          <w:b/>
          <w:bCs/>
          <w:color w:val="000000"/>
          <w:kern w:val="0"/>
          <w:lang w:eastAsia="sk-SK"/>
          <w14:ligatures w14:val="none"/>
        </w:rPr>
        <w:t>Predmet návrhu zákona je upravený v práve Európskej únie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: </w:t>
      </w:r>
    </w:p>
    <w:p w14:paraId="5F1E9EDB" w14:textId="18BB5E68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42" w:hanging="284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a) v primárnom práve – Zmluva o fungovaní Európskej únie  (čl. 194)</w:t>
      </w:r>
      <w:r w:rsidR="003C392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br/>
      </w:r>
      <w:r w:rsidR="006E19D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</w:t>
      </w:r>
      <w:r w:rsidR="006E19D3" w:rsidRPr="006E19D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(Ú. v. EÚ C 202, 7.6.2016)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, </w:t>
      </w:r>
    </w:p>
    <w:p w14:paraId="34C11A9D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b) v sekundárnom práve </w:t>
      </w:r>
    </w:p>
    <w:p w14:paraId="6F26D7D1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40326483" w14:textId="42CA9FDC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1. Smernica Európskeho parlamentu a Rady (EÚ) 2024/1788 z 13. júna 2024 </w:t>
      </w:r>
      <w:r w:rsidR="00A8134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br/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o spoločných pravidlách pre vnútorné trhy s obnoviteľným plynom, so zemným plynom a s vodíkom, ktorou sa mení smernica (EÚ) 2023/1791 a zrušuje smernica 2009/73/ES (prepracované znenie)</w:t>
      </w:r>
      <w:r w:rsidR="006E19D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</w:t>
      </w:r>
      <w:r w:rsidR="006E19D3" w:rsidRPr="006E19D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(Ú. v. EÚ L 2024/1788, 15.7.2024)</w:t>
      </w:r>
    </w:p>
    <w:p w14:paraId="6846CB88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7EFB075B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Gestor:  Ministerstvo hospodárstva SR</w:t>
      </w:r>
    </w:p>
    <w:p w14:paraId="7F561DEC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25C6EE48" w14:textId="4722E534" w:rsidR="00083CA3" w:rsidRPr="00083CA3" w:rsidRDefault="00083CA3" w:rsidP="00083CA3">
      <w:pPr>
        <w:spacing w:after="0" w:line="240" w:lineRule="auto"/>
        <w:ind w:left="958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2. Nariadenie Európskeho parlamentu a Rady (EÚ) 2024/1789 z 13. júna 2024 </w:t>
      </w:r>
      <w:r w:rsidR="00A8134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br/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o vnútornom trhu s obnoviteľným plynom, zemným plynom a vodíkom, ktorým sa menia nariadenia (EÚ) č. 1227/2011, (EÚ) 2017/1938, (EÚ) 2019/942 a (EÚ) 2022/869 a rozhodnutie (EÚ) 2017/684 a ktorým sa zrušuje nariadenie </w:t>
      </w:r>
      <w:r w:rsidR="00012EB0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br/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(ES) č. 715/2009 (prepracované znenie)</w:t>
      </w:r>
      <w:r w:rsidR="006E19D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 </w:t>
      </w:r>
      <w:r w:rsidR="006E19D3" w:rsidRPr="006E19D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(Ú. v. EÚ L 2024/1789, 15.7.2024)</w:t>
      </w:r>
    </w:p>
    <w:p w14:paraId="5BB00A42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0B867878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Gestor:  Ministerstvo hospodárstva SR</w:t>
      </w:r>
    </w:p>
    <w:p w14:paraId="40C85C0D" w14:textId="77777777" w:rsidR="00083CA3" w:rsidRPr="00083CA3" w:rsidRDefault="00083CA3" w:rsidP="00083CA3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61802AFF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c) v judikatúre Súdneho dvora Európskej únie – nie je. </w:t>
      </w:r>
    </w:p>
    <w:p w14:paraId="0CFE7565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567" w:firstLine="426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18EA67BB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4. </w:t>
      </w:r>
      <w:r w:rsidRPr="00083CA3">
        <w:rPr>
          <w:rFonts w:ascii="Times New Roman" w:eastAsia="Times New Roman" w:hAnsi="Times New Roman" w:cs="Times New Roman"/>
          <w:b/>
          <w:bCs/>
          <w:color w:val="000000"/>
          <w:kern w:val="0"/>
          <w:lang w:eastAsia="sk-SK"/>
          <w14:ligatures w14:val="none"/>
        </w:rPr>
        <w:t>Záväzky Slovenskej republiky vo vzťahu k Európskej únii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: </w:t>
      </w:r>
    </w:p>
    <w:p w14:paraId="739A21B6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a) uviesť lehotu na prebranie príslušného právneho aktu Európskej únie, príp. aj osobitnú lehotu účinnosti jeho ustanovení:</w:t>
      </w:r>
    </w:p>
    <w:p w14:paraId="7B0C2678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</w:p>
    <w:p w14:paraId="1C2CC467" w14:textId="1ED47FB1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958" w:hanging="283"/>
        <w:jc w:val="both"/>
        <w:rPr>
          <w:rFonts w:ascii="Times New Roman" w:eastAsia="Arial Unicode MS" w:hAnsi="Times New Roman" w:cs="Times New Roman"/>
          <w:kern w:val="0"/>
          <w:szCs w:val="2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1. </w:t>
      </w:r>
      <w:r w:rsidRPr="00083CA3">
        <w:rPr>
          <w:rFonts w:ascii="Times New Roman" w:eastAsia="Arial Unicode MS" w:hAnsi="Times New Roman" w:cs="Times New Roman"/>
          <w:kern w:val="0"/>
          <w:szCs w:val="20"/>
          <w:lang w:eastAsia="sk-SK"/>
          <w14:ligatures w14:val="none"/>
        </w:rPr>
        <w:t xml:space="preserve">Smernica (EÚ) 2024/1788 bola prijatá v júni 2024 a nadobudla účinnosť 4. augusta 2024. Transpozícia do národného práva má byť v súlade s čl. 94 vykonaná  </w:t>
      </w:r>
      <w:r w:rsidR="00A81349">
        <w:rPr>
          <w:rFonts w:ascii="Times New Roman" w:eastAsia="Arial Unicode MS" w:hAnsi="Times New Roman" w:cs="Times New Roman"/>
          <w:kern w:val="0"/>
          <w:szCs w:val="20"/>
          <w:lang w:eastAsia="sk-SK"/>
          <w14:ligatures w14:val="none"/>
        </w:rPr>
        <w:br/>
      </w:r>
      <w:r w:rsidRPr="00083CA3">
        <w:rPr>
          <w:rFonts w:ascii="Times New Roman" w:eastAsia="Arial Unicode MS" w:hAnsi="Times New Roman" w:cs="Times New Roman"/>
          <w:kern w:val="0"/>
          <w:szCs w:val="20"/>
          <w:lang w:eastAsia="sk-SK"/>
          <w14:ligatures w14:val="none"/>
        </w:rPr>
        <w:t>do 5. augusta 2026.</w:t>
      </w:r>
    </w:p>
    <w:p w14:paraId="7C77722A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958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0D63B1CB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958" w:hanging="283"/>
        <w:jc w:val="both"/>
        <w:rPr>
          <w:rFonts w:ascii="Times New Roman" w:eastAsia="Arial Unicode MS" w:hAnsi="Times New Roman" w:cs="Times New Roman"/>
          <w:kern w:val="0"/>
          <w:szCs w:val="2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2.  </w:t>
      </w:r>
      <w:r w:rsidRPr="00083CA3">
        <w:rPr>
          <w:rFonts w:ascii="Times New Roman" w:eastAsia="Arial Unicode MS" w:hAnsi="Times New Roman" w:cs="Times New Roman"/>
          <w:kern w:val="0"/>
          <w:szCs w:val="20"/>
          <w:lang w:eastAsia="sk-SK"/>
          <w14:ligatures w14:val="none"/>
        </w:rPr>
        <w:t>Nariadenie (EÚ) 2024/1789 bolo prijaté v júni 2024 a od 4. augusta 2024 je účinné a priamo uplatniteľné,</w:t>
      </w:r>
    </w:p>
    <w:p w14:paraId="44A86807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958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</w:p>
    <w:p w14:paraId="0BAB9FA0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958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</w:r>
      <w:r w:rsidRPr="00083CA3">
        <w:rPr>
          <w:rFonts w:ascii="Times New Roman" w:eastAsia="Times New Roman" w:hAnsi="Times New Roman" w:cs="Times New Roman"/>
          <w:kern w:val="0"/>
          <w:lang w:eastAsia="sk-SK"/>
          <w14:ligatures w14:val="none"/>
        </w:rPr>
        <w:t xml:space="preserve"> </w:t>
      </w:r>
    </w:p>
    <w:p w14:paraId="521770C0" w14:textId="25387069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b) uviesť informáciu o začatí konania v rámci „EÚ Pilot“ alebo o začatí postupu Európskej komisie, alebo o konaní Súdneho dvora Európskej únie proti Slovenskej republike podľa čl. 258 a 260 Zmluvy o fungovaní Európskej únie </w:t>
      </w:r>
      <w:r w:rsidR="00A8134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br/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v jej platnom znení, spolu s uvedením konkrétnych vytýkaných nedostatkov </w:t>
      </w:r>
      <w:r w:rsidR="00A81349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br/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a požiadaviek na zabezpečenie nápravy so zreteľom na nariadenie Európskeho parlamentu a Rady (ES) č. 1049/2001 z 30. mája 2001 o prístupe verejnosti k dokumentom Európskeho parlamentu, Rady a Komisie -  nie je</w:t>
      </w:r>
    </w:p>
    <w:p w14:paraId="684D555B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lastRenderedPageBreak/>
        <w:t xml:space="preserve">c) uviesť informáciu o právnych predpisoch, v ktorých sú uvádzané právne akty Európskej únie už prebrané, spolu s uvedením rozsahu ich prebrania, príp. potreby prijatia ďalších úprav - </w:t>
      </w:r>
    </w:p>
    <w:p w14:paraId="79D07B91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-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zákon č. 309/2009 Z. z. o podpore obnoviteľných zdrojov energie a vysoko účinnej kombinovanej výroby a o zmene a doplnení niektorých zákonov v znení neskorších predpisov, </w:t>
      </w:r>
    </w:p>
    <w:p w14:paraId="4E215F03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-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 xml:space="preserve">zákon č. 250/2012 Z. z. o regulácii v sieťových odvetviach v znení neskorších predpisov, </w:t>
      </w:r>
    </w:p>
    <w:p w14:paraId="7146E14F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-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ab/>
        <w:t>zákon č. 251/2012 Z. z.  o energetike a o zmene a doplnení niektorých zákonov v znení neskorších predpisov</w:t>
      </w:r>
    </w:p>
    <w:p w14:paraId="473E9121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</w:p>
    <w:p w14:paraId="46527B86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5. </w:t>
      </w:r>
      <w:r w:rsidRPr="00083CA3">
        <w:rPr>
          <w:rFonts w:ascii="Times New Roman" w:eastAsia="Times New Roman" w:hAnsi="Times New Roman" w:cs="Times New Roman"/>
          <w:b/>
          <w:bCs/>
          <w:color w:val="000000"/>
          <w:kern w:val="0"/>
          <w:lang w:eastAsia="sk-SK"/>
          <w14:ligatures w14:val="none"/>
        </w:rPr>
        <w:t>Návrh zákona je zlučiteľný s právom Európskej únie</w:t>
      </w: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 xml:space="preserve">: </w:t>
      </w:r>
    </w:p>
    <w:p w14:paraId="6559AA08" w14:textId="77777777" w:rsidR="00083CA3" w:rsidRPr="00083CA3" w:rsidRDefault="00083CA3" w:rsidP="00083CA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</w:pPr>
      <w:r w:rsidRPr="00083CA3">
        <w:rPr>
          <w:rFonts w:ascii="Times New Roman" w:eastAsia="Times New Roman" w:hAnsi="Times New Roman" w:cs="Times New Roman"/>
          <w:color w:val="000000"/>
          <w:kern w:val="0"/>
          <w:lang w:eastAsia="sk-SK"/>
          <w14:ligatures w14:val="none"/>
        </w:rPr>
        <w:t>Úplne</w:t>
      </w:r>
    </w:p>
    <w:p w14:paraId="6B4B06DE" w14:textId="77777777" w:rsidR="00257302" w:rsidRDefault="00257302"/>
    <w:sectPr w:rsidR="002573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CA3"/>
    <w:rsid w:val="00012EB0"/>
    <w:rsid w:val="00083CA3"/>
    <w:rsid w:val="001C5544"/>
    <w:rsid w:val="00257302"/>
    <w:rsid w:val="0029798A"/>
    <w:rsid w:val="003C3929"/>
    <w:rsid w:val="003D5CBE"/>
    <w:rsid w:val="004F4ACC"/>
    <w:rsid w:val="00673124"/>
    <w:rsid w:val="00686453"/>
    <w:rsid w:val="006C1A5D"/>
    <w:rsid w:val="006C308D"/>
    <w:rsid w:val="006E19D3"/>
    <w:rsid w:val="00826AA2"/>
    <w:rsid w:val="009450EB"/>
    <w:rsid w:val="0096317E"/>
    <w:rsid w:val="009805F1"/>
    <w:rsid w:val="00A81349"/>
    <w:rsid w:val="00BE2AF7"/>
    <w:rsid w:val="00C64414"/>
    <w:rsid w:val="00D66B04"/>
    <w:rsid w:val="00E261C5"/>
    <w:rsid w:val="00F7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2779D"/>
  <w15:chartTrackingRefBased/>
  <w15:docId w15:val="{716C6EA7-CB74-48BE-BEA1-3901A8F8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83C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083C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083C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083C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083C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083C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083C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083C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083C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83C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083C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083C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083CA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083CA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083CA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083CA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083CA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083CA3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083C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083C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083C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083C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083C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083CA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083CA3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083CA3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083C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083CA3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083CA3"/>
    <w:rPr>
      <w:b/>
      <w:bCs/>
      <w:smallCaps/>
      <w:color w:val="0F4761" w:themeColor="accent1" w:themeShade="BF"/>
      <w:spacing w:val="5"/>
    </w:rPr>
  </w:style>
  <w:style w:type="paragraph" w:styleId="Revzia">
    <w:name w:val="Revision"/>
    <w:hidden/>
    <w:uiPriority w:val="99"/>
    <w:semiHidden/>
    <w:rsid w:val="006E19D3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BE2AF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E2AF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E2AF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E2AF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BE2AF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Dukova Nikol</dc:creator>
  <cp:keywords/>
  <dc:description/>
  <cp:lastModifiedBy>Smazakova Janette</cp:lastModifiedBy>
  <cp:revision>10</cp:revision>
  <dcterms:created xsi:type="dcterms:W3CDTF">2026-06-02T11:36:00Z</dcterms:created>
  <dcterms:modified xsi:type="dcterms:W3CDTF">2026-08-12T09:17:00Z</dcterms:modified>
</cp:coreProperties>
</file>